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643080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D12533">
        <w:rPr>
          <w:b/>
          <w:i/>
          <w:iCs/>
          <w:color w:val="663300"/>
        </w:rPr>
        <w:t>20</w:t>
      </w:r>
      <w:r w:rsidR="00BE1361" w:rsidRPr="00BE1361">
        <w:rPr>
          <w:b/>
          <w:i/>
          <w:iCs/>
          <w:color w:val="663300"/>
        </w:rPr>
        <w:t xml:space="preserve"> dicembre</w:t>
      </w:r>
      <w:r w:rsidRPr="00E05EC2">
        <w:rPr>
          <w:b/>
          <w:i/>
          <w:iCs/>
          <w:color w:val="663300"/>
        </w:rPr>
        <w:t xml:space="preserve"> 2017</w:t>
      </w:r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D12533" w:rsidRDefault="00395824" w:rsidP="00395824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395824">
        <w:rPr>
          <w:rFonts w:ascii="Verdana" w:hAnsi="Verdana"/>
          <w:b/>
          <w:color w:val="0000FF"/>
          <w:sz w:val="28"/>
          <w:szCs w:val="28"/>
        </w:rPr>
        <w:t xml:space="preserve">La Santa Messa - </w:t>
      </w:r>
      <w:r w:rsidR="00D12533" w:rsidRPr="00D12533">
        <w:rPr>
          <w:rFonts w:ascii="Verdana" w:hAnsi="Verdana"/>
          <w:b/>
          <w:color w:val="0000FF"/>
          <w:sz w:val="28"/>
          <w:szCs w:val="28"/>
        </w:rPr>
        <w:t>5. Riti di introduzione</w:t>
      </w:r>
    </w:p>
    <w:p w:rsidR="00BE1361" w:rsidRDefault="00BE1361" w:rsidP="00BE1361">
      <w:pPr>
        <w:pStyle w:val="NormaleWeb"/>
      </w:pPr>
      <w:r>
        <w:rPr>
          <w:i/>
          <w:iCs/>
        </w:rPr>
        <w:t>Cari fratelli e sorelle, buongiorno!</w:t>
      </w:r>
    </w:p>
    <w:p w:rsidR="00D12533" w:rsidRDefault="00D12533" w:rsidP="00D12533">
      <w:pPr>
        <w:pStyle w:val="NormaleWeb"/>
        <w:jc w:val="both"/>
      </w:pPr>
      <w:r>
        <w:t>Oggi vorrei entrare nel vivo della celebrazione eucaristica. La Messa è composta da due parti, che sono la Liturgia della Parola e la Liturgia eucaristica, così strettamente congiunte tra di loro da formare un unico atto di culto (</w:t>
      </w:r>
      <w:proofErr w:type="spellStart"/>
      <w:r>
        <w:t>cfr</w:t>
      </w:r>
      <w:proofErr w:type="spellEnd"/>
      <w:r>
        <w:t xml:space="preserve"> </w:t>
      </w:r>
      <w:hyperlink r:id="rId6" w:history="1">
        <w:proofErr w:type="spellStart"/>
        <w:r>
          <w:rPr>
            <w:rStyle w:val="Collegamentoipertestuale"/>
            <w:i/>
            <w:iCs/>
          </w:rPr>
          <w:t>Sacrosanctum</w:t>
        </w:r>
        <w:proofErr w:type="spellEnd"/>
        <w:r>
          <w:rPr>
            <w:rStyle w:val="Collegamentoipertestuale"/>
            <w:i/>
            <w:iCs/>
          </w:rPr>
          <w:t xml:space="preserve"> </w:t>
        </w:r>
        <w:proofErr w:type="spellStart"/>
        <w:r>
          <w:rPr>
            <w:rStyle w:val="Collegamentoipertestuale"/>
            <w:i/>
            <w:iCs/>
          </w:rPr>
          <w:t>Concilium</w:t>
        </w:r>
        <w:proofErr w:type="spellEnd"/>
      </w:hyperlink>
      <w:r>
        <w:rPr>
          <w:i/>
          <w:iCs/>
        </w:rPr>
        <w:t>,</w:t>
      </w:r>
      <w:r>
        <w:t xml:space="preserve"> 56; </w:t>
      </w:r>
      <w:r>
        <w:rPr>
          <w:i/>
          <w:iCs/>
        </w:rPr>
        <w:t>Ordinamento Generale del Messale Romano</w:t>
      </w:r>
      <w:r>
        <w:t>, 28). Introdotta da alcuni riti preparatori e conclusa da altri, la celebrazione è dunque un unico corpo e non si può separare, ma per una comprensione migliore cercherò di spiegare i suoi vari momenti, ognuno dei quali è capace di toccare e coinvolgere una dimensione della nostra umanità. È necessario conoscere questi santi segni per vivere pienamente la Messa e assaporare tutta la sua bellezza.</w:t>
      </w:r>
    </w:p>
    <w:p w:rsidR="00D12533" w:rsidRDefault="00D12533" w:rsidP="00D12533">
      <w:pPr>
        <w:pStyle w:val="NormaleWeb"/>
        <w:jc w:val="both"/>
      </w:pPr>
      <w:r>
        <w:t xml:space="preserve">Quando il popolo è radunato, la celebrazione si apre con i riti introduttivi, comprendenti l’ingresso dei celebranti o del celebrante, il saluto – “Il Signore sia con voi”, “La pace sia con voi” –, l’atto penitenziale – “Io confesso”, dove noi chiediamo perdono dei nostri peccati –, il </w:t>
      </w:r>
      <w:r>
        <w:rPr>
          <w:i/>
          <w:iCs/>
        </w:rPr>
        <w:t>Kyrie eleison</w:t>
      </w:r>
      <w:r>
        <w:t xml:space="preserve">, l’inno del Gloria e l’orazione colletta: si chiama “orazione colletta” non perché lì si fa la colletta delle offerte: è la colletta delle intenzioni di preghiera di tutti i popoli; e quella colletta dell’intenzione dei popoli sale al cielo come preghiera. Il loro scopo – di questi riti introduttivi – è di far sì «che i fedeli, riuniti insieme, </w:t>
      </w:r>
      <w:proofErr w:type="spellStart"/>
      <w:r>
        <w:t>formino</w:t>
      </w:r>
      <w:proofErr w:type="spellEnd"/>
      <w:r>
        <w:t xml:space="preserve"> una comunità, e si dispongano ad ascoltare con fede la parola di Dio e a celebrare degnamente l’Eucaristia» (</w:t>
      </w:r>
      <w:r>
        <w:rPr>
          <w:i/>
          <w:iCs/>
        </w:rPr>
        <w:t>Ordinamento Generale del Messale Romano</w:t>
      </w:r>
      <w:r>
        <w:t>, 46). Non è una buona abitudine guardare l’orologio e dire: “Sono in tempo, arrivo dopo il sermone e con questo compio il precetto”. La Messa incomincia con il segno della Croce, con questi riti introduttivi, perché lì incominciamo ad adorare Dio come comunità. E per questo è importante prevedere di non arrivare in ritardo, bensì in anticipo, per preparare il cuore a questo rito, a questa celebrazione della comunità.</w:t>
      </w:r>
    </w:p>
    <w:p w:rsidR="00D12533" w:rsidRDefault="00D12533" w:rsidP="00D12533">
      <w:pPr>
        <w:pStyle w:val="NormaleWeb"/>
        <w:jc w:val="both"/>
      </w:pPr>
      <w:r>
        <w:t xml:space="preserve">Mentre normalmente si svolge il canto d’ingresso, il sacerdote con gli altri ministri raggiunge processionalmente il presbiterio, e qui saluta l’altare con un inchino e, in segno di venerazione, lo bacia e, quando c’è l’incenso, lo incensa. Perché? Perché l’altare è Cristo: è figura di Cristo. Quando noi guardiamo l’altare, guardiamo proprio dov’è Cristo. L’altare è Cristo. </w:t>
      </w:r>
    </w:p>
    <w:p w:rsidR="00D12533" w:rsidRDefault="00D12533" w:rsidP="00D12533">
      <w:pPr>
        <w:pStyle w:val="NormaleWeb"/>
        <w:jc w:val="both"/>
      </w:pPr>
      <w:bookmarkStart w:id="0" w:name="_GoBack"/>
      <w:bookmarkEnd w:id="0"/>
      <w:r>
        <w:t>Questi gesti, che rischiano di passare inosservati, sono molto significativi, perché esprimono fin dall’inizio che la Messa è un incontro di amore con Cristo, il quale «offrendo il suo corpo sulla croce […] divenne altare, vittima e sacerdote» (prefazio pasquale V). L’altare, infatti, in quanto segno di Cristo, «è il centro dell’azione di grazie che si compie con l’Eucaristia» (</w:t>
      </w:r>
      <w:r>
        <w:rPr>
          <w:i/>
          <w:iCs/>
        </w:rPr>
        <w:t>Ordinamento Generale del Messale Romano</w:t>
      </w:r>
      <w:r>
        <w:t>, 296), e tutta la comunità attorno all’altare, che è Cristo; non per guardarsi la faccia, ma per guardare Cristo, perché Cristo è al centro della comunità, non è lontano da essa.</w:t>
      </w:r>
    </w:p>
    <w:p w:rsidR="00D12533" w:rsidRDefault="00D12533" w:rsidP="00D12533">
      <w:pPr>
        <w:pStyle w:val="NormaleWeb"/>
        <w:jc w:val="both"/>
      </w:pPr>
      <w:r>
        <w:t xml:space="preserve">Vi è poi il </w:t>
      </w:r>
      <w:r>
        <w:rPr>
          <w:i/>
          <w:iCs/>
        </w:rPr>
        <w:t>segno della croce</w:t>
      </w:r>
      <w:r>
        <w:t>. Il sacerdote che presiede lo traccia su di sé e lo stesso fanno tutti i membri dell’assemblea, consapevoli che l’atto liturgico si compie «nel nome del Padre e del Figlio e dello Spirito Santo». E qui passo a un altro argomento piccolissimo. Voi avete visto come i bambini fanno il segno della croce? Non sanno cosa fanno: a volte fanno un disegno, che non è il segno della croce. Per favore: mamma e papà, nonni, insegnate ai bambini, dall’inizio - da piccolini - a fare bene il segno della croce. E spiegategli che è avere come protezione la croce di Gesù. E la Messa incomincia con il segno della croce. Tutta la preghiera si muove, per così dire, nello spazio della Santissima Trinità – “Nel nome del Padre, del Figlio, e dello Spirito Santo” –, che è spazio di comunione infinita; ha come origine e come fine l’amore di Dio Uno e Trino, manifestato e donato a noi nella Croce di Cristo. Infatti il suo mistero pasquale è dono della Trinità, e l’Eucaristia scaturisce sempre dal suo cuore trafitto. Segnandoci con il segno della croce, dunque, non solo facciamo memoria del nostro Battesimo, ma affermiamo che la preghiera liturgica è l’incontro con Dio in Cristo Gesù, che per noi si è incarnato, è morto in croce ed è risorto glorioso.</w:t>
      </w:r>
    </w:p>
    <w:p w:rsidR="00D12533" w:rsidRDefault="00D12533" w:rsidP="00D12533">
      <w:pPr>
        <w:pStyle w:val="NormaleWeb"/>
        <w:jc w:val="both"/>
      </w:pPr>
      <w:r>
        <w:t xml:space="preserve">Il sacerdote, quindi, rivolge il </w:t>
      </w:r>
      <w:r>
        <w:rPr>
          <w:i/>
          <w:iCs/>
        </w:rPr>
        <w:t>saluto liturgico</w:t>
      </w:r>
      <w:r>
        <w:t>, con l’espressione: «Il Signore sia con voi» o un’altra simile – ce ne sono parecchie –; e l’assemblea risponde: «E con il tuo spirito». Siamo in dialogo; siamo all’inizio della Messa e dobbiamo pensare al significato di tutti questi gesti e parole. Stiamo entrando in una “sinfonia”, nella quale risuonano varie tonalità di voci, compreso tempi di silenzio, in vista di creare l</w:t>
      </w:r>
      <w:proofErr w:type="gramStart"/>
      <w:r>
        <w:t>’“</w:t>
      </w:r>
      <w:proofErr w:type="gramEnd"/>
      <w:r>
        <w:t>accordo” tra tutti i partecipanti, cioè di riconoscersi animati da un unico Spirito e per un medesimo fine. In effetti «il saluto sacerdotale e la risposta del popolo manifestano il mistero della Chiesa radunata» (</w:t>
      </w:r>
      <w:r>
        <w:rPr>
          <w:i/>
          <w:iCs/>
        </w:rPr>
        <w:t>Ordinamento Generale del Messale Romano,</w:t>
      </w:r>
      <w:r>
        <w:t xml:space="preserve"> 50). Si esprime così la comune fede e il desiderio vicendevole di stare con il Signore e di vivere l’unità con tutta la comunità. </w:t>
      </w:r>
    </w:p>
    <w:p w:rsidR="00D12533" w:rsidRDefault="00D12533" w:rsidP="00D12533">
      <w:pPr>
        <w:pStyle w:val="NormaleWeb"/>
        <w:jc w:val="both"/>
      </w:pPr>
      <w:r>
        <w:t>E questa è una sinfonia orante, che si sta creando e presenta subito un momento molto toccante, perché chi presiede invita tutti a riconoscere i propri peccati. Tutti siamo peccatori. Non so, forse qualcuno di voi non è peccatore…Se qualcuno non è peccatore alzi la mano, per favore, così tutti vediamo. Ma non ci sono mani alzate, va bene: avete buona la fede! Tutti siamo peccatori; e per questo all’inizio della Messa chiediamo perdono. E’ l’</w:t>
      </w:r>
      <w:r>
        <w:rPr>
          <w:i/>
          <w:iCs/>
        </w:rPr>
        <w:t>atto penitenziale</w:t>
      </w:r>
      <w:r>
        <w:t>. Non si tratta solamente di pensare ai peccati commessi, ma molto di più: è l’invito a confessarsi peccatori davanti a Dio e davanti alla comunità, davanti ai fratelli, con umiltà e sincerità, come il pubblicano al tempio. Se veramente l’Eucaristia rende presente il mistero pasquale, vale a dire il passaggio di Cristo dalla morte alla vita, allora la prima cosa che dobbiamo fare è riconoscere quali sono le nostre situazioni di morte per poter risorgere con Lui a vita nuova. Questo ci fa comprendere quanto sia importante l’atto penitenziale. E per questo riprenderemo l’argomento nella prossima catechesi.</w:t>
      </w:r>
    </w:p>
    <w:p w:rsidR="00D12533" w:rsidRDefault="00D12533" w:rsidP="00D12533">
      <w:pPr>
        <w:pStyle w:val="NormaleWeb"/>
        <w:jc w:val="both"/>
      </w:pPr>
      <w:r>
        <w:t xml:space="preserve">Andiamo passo </w:t>
      </w:r>
      <w:proofErr w:type="spellStart"/>
      <w:r>
        <w:t>passo</w:t>
      </w:r>
      <w:proofErr w:type="spellEnd"/>
      <w:r>
        <w:t xml:space="preserve"> nella spiegazione della Messa. Ma mi raccomando: insegnate bene ai bambini a fare il segno della croce, per favore! </w:t>
      </w:r>
    </w:p>
    <w:p w:rsidR="00BE1361" w:rsidRDefault="00BE1361" w:rsidP="00395824">
      <w:pPr>
        <w:pStyle w:val="NormaleWeb"/>
      </w:pPr>
    </w:p>
    <w:sectPr w:rsidR="00BE1361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34465"/>
    <w:rsid w:val="0004601B"/>
    <w:rsid w:val="00057747"/>
    <w:rsid w:val="000707F5"/>
    <w:rsid w:val="00071264"/>
    <w:rsid w:val="000A4EED"/>
    <w:rsid w:val="000B5AA7"/>
    <w:rsid w:val="000E72F5"/>
    <w:rsid w:val="000F1916"/>
    <w:rsid w:val="000F24BE"/>
    <w:rsid w:val="0010670F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1C00"/>
    <w:rsid w:val="00265D1D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10603"/>
    <w:rsid w:val="00516847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A07C7"/>
    <w:rsid w:val="006A0889"/>
    <w:rsid w:val="006A503D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40EF0"/>
    <w:rsid w:val="00C8634F"/>
    <w:rsid w:val="00C86CAC"/>
    <w:rsid w:val="00CB6B22"/>
    <w:rsid w:val="00CD5076"/>
    <w:rsid w:val="00CD5888"/>
    <w:rsid w:val="00D12533"/>
    <w:rsid w:val="00D32E57"/>
    <w:rsid w:val="00D40095"/>
    <w:rsid w:val="00D47C99"/>
    <w:rsid w:val="00D63D9F"/>
    <w:rsid w:val="00D72F95"/>
    <w:rsid w:val="00D973D3"/>
    <w:rsid w:val="00DA7583"/>
    <w:rsid w:val="00DC5E02"/>
    <w:rsid w:val="00DD4378"/>
    <w:rsid w:val="00DF0719"/>
    <w:rsid w:val="00DF5F40"/>
    <w:rsid w:val="00E05EC2"/>
    <w:rsid w:val="00E07E75"/>
    <w:rsid w:val="00E179B9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220B2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E427C"/>
    <w:rsid w:val="00FE4C9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archive/hist_councils/ii_vatican_council/documents/vat-ii_const_19631204_sacrosanctum-concilium_it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6483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2017-12-21T03:20:00Z</dcterms:created>
  <dcterms:modified xsi:type="dcterms:W3CDTF">2017-12-21T03:20:00Z</dcterms:modified>
</cp:coreProperties>
</file>